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9C73" w14:textId="097B8BF7" w:rsidR="00442379" w:rsidRPr="00D722C3" w:rsidRDefault="00DC235C" w:rsidP="00DC235C">
      <w:pPr>
        <w:spacing w:after="0" w:line="240" w:lineRule="auto"/>
        <w:ind w:left="-720"/>
        <w:jc w:val="center"/>
        <w:rPr>
          <w:rFonts w:cstheme="minorHAnsi"/>
          <w:b/>
          <w:bCs/>
          <w:sz w:val="24"/>
          <w:szCs w:val="24"/>
        </w:rPr>
      </w:pPr>
      <w:r w:rsidRPr="00D722C3">
        <w:rPr>
          <w:rFonts w:cstheme="minorHAnsi"/>
          <w:b/>
          <w:bCs/>
          <w:sz w:val="24"/>
          <w:szCs w:val="24"/>
        </w:rPr>
        <w:t>Synopsis of Accounts Payable, Procurement and Travel Procurement</w:t>
      </w:r>
    </w:p>
    <w:p w14:paraId="63B54B2F" w14:textId="4BC97C86" w:rsidR="00DC235C" w:rsidRPr="00D722C3" w:rsidRDefault="00DC235C" w:rsidP="00DC235C">
      <w:pPr>
        <w:spacing w:after="0" w:line="240" w:lineRule="auto"/>
        <w:ind w:left="-720"/>
        <w:jc w:val="center"/>
        <w:rPr>
          <w:rFonts w:cstheme="minorHAnsi"/>
          <w:b/>
          <w:bCs/>
          <w:sz w:val="24"/>
          <w:szCs w:val="24"/>
        </w:rPr>
      </w:pPr>
      <w:r w:rsidRPr="00D722C3">
        <w:rPr>
          <w:rFonts w:cstheme="minorHAnsi"/>
          <w:b/>
          <w:bCs/>
          <w:sz w:val="24"/>
          <w:szCs w:val="24"/>
        </w:rPr>
        <w:t>Fiscal Year-end Deadlines for 202</w:t>
      </w:r>
      <w:r w:rsidR="007C0BD3">
        <w:rPr>
          <w:rFonts w:cstheme="minorHAnsi"/>
          <w:b/>
          <w:bCs/>
          <w:sz w:val="24"/>
          <w:szCs w:val="24"/>
        </w:rPr>
        <w:t>3</w:t>
      </w:r>
    </w:p>
    <w:p w14:paraId="45E05C77" w14:textId="1E211DE3" w:rsidR="00DC235C" w:rsidRPr="00D722C3" w:rsidRDefault="00DC235C" w:rsidP="00DC235C">
      <w:pPr>
        <w:spacing w:after="0" w:line="240" w:lineRule="auto"/>
        <w:ind w:left="-720"/>
        <w:jc w:val="center"/>
        <w:rPr>
          <w:rFonts w:cstheme="minorHAnsi"/>
        </w:rPr>
      </w:pPr>
      <w:r w:rsidRPr="00D722C3">
        <w:rPr>
          <w:rFonts w:cstheme="minorHAnsi"/>
          <w:i/>
          <w:iCs/>
        </w:rPr>
        <w:t>(The current fiscal year ends June 30, 202</w:t>
      </w:r>
      <w:r w:rsidR="007C0BD3">
        <w:rPr>
          <w:rFonts w:cstheme="minorHAnsi"/>
          <w:i/>
          <w:iCs/>
        </w:rPr>
        <w:t>3</w:t>
      </w:r>
      <w:r w:rsidRPr="00D722C3">
        <w:rPr>
          <w:rFonts w:cstheme="minorHAnsi"/>
          <w:i/>
          <w:iCs/>
        </w:rPr>
        <w:t>)</w:t>
      </w:r>
    </w:p>
    <w:p w14:paraId="09CBF330" w14:textId="703D25EB" w:rsidR="00DC235C" w:rsidRPr="00D722C3" w:rsidRDefault="00DC235C" w:rsidP="00DC235C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980"/>
        <w:gridCol w:w="6930"/>
        <w:gridCol w:w="1890"/>
      </w:tblGrid>
      <w:tr w:rsidR="00DC235C" w:rsidRPr="00D722C3" w14:paraId="7A2C63B6" w14:textId="77777777" w:rsidTr="00DC235C">
        <w:tc>
          <w:tcPr>
            <w:tcW w:w="1980" w:type="dxa"/>
            <w:shd w:val="clear" w:color="auto" w:fill="2E74B5" w:themeFill="accent5" w:themeFillShade="BF"/>
          </w:tcPr>
          <w:p w14:paraId="7906D283" w14:textId="5D792517" w:rsidR="00DC235C" w:rsidRDefault="00DC235C" w:rsidP="00A9432B">
            <w:pPr>
              <w:tabs>
                <w:tab w:val="center" w:pos="1450"/>
                <w:tab w:val="left" w:pos="219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722C3">
              <w:rPr>
                <w:rFonts w:cstheme="minorHAnsi"/>
                <w:b/>
                <w:bCs/>
                <w:color w:val="FFFFFF" w:themeColor="background1"/>
              </w:rPr>
              <w:t>Deadline</w:t>
            </w:r>
            <w:r w:rsidR="00A9432B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D722C3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 w:rsidR="007C0BD3">
              <w:rPr>
                <w:rFonts w:cstheme="minorHAnsi"/>
                <w:b/>
                <w:bCs/>
                <w:color w:val="FFFFFF" w:themeColor="background1"/>
              </w:rPr>
              <w:t>3</w:t>
            </w:r>
          </w:p>
          <w:p w14:paraId="0A386A26" w14:textId="3BBA66CE" w:rsidR="00A9432B" w:rsidRPr="00D722C3" w:rsidRDefault="00A9432B" w:rsidP="00DC235C">
            <w:pPr>
              <w:tabs>
                <w:tab w:val="center" w:pos="1450"/>
                <w:tab w:val="left" w:pos="219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930" w:type="dxa"/>
            <w:shd w:val="clear" w:color="auto" w:fill="2E74B5" w:themeFill="accent5" w:themeFillShade="BF"/>
          </w:tcPr>
          <w:p w14:paraId="314CDCCB" w14:textId="70C3F3E0" w:rsidR="00DC235C" w:rsidRPr="00D722C3" w:rsidRDefault="00DC235C" w:rsidP="00DC23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722C3">
              <w:rPr>
                <w:rFonts w:cstheme="minorHAns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1890" w:type="dxa"/>
            <w:shd w:val="clear" w:color="auto" w:fill="2E74B5" w:themeFill="accent5" w:themeFillShade="BF"/>
          </w:tcPr>
          <w:p w14:paraId="6CBF18EE" w14:textId="37B9525F" w:rsidR="00DC235C" w:rsidRPr="00D722C3" w:rsidRDefault="00DC235C" w:rsidP="00DC23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722C3">
              <w:rPr>
                <w:rFonts w:cstheme="minorHAnsi"/>
                <w:b/>
                <w:bCs/>
                <w:color w:val="FFFFFF" w:themeColor="background1"/>
              </w:rPr>
              <w:t>Department</w:t>
            </w:r>
          </w:p>
        </w:tc>
      </w:tr>
      <w:tr w:rsidR="00DC235C" w:rsidRPr="00D722C3" w14:paraId="22E1C2C0" w14:textId="77777777" w:rsidTr="00492702">
        <w:trPr>
          <w:trHeight w:val="1835"/>
        </w:trPr>
        <w:tc>
          <w:tcPr>
            <w:tcW w:w="1980" w:type="dxa"/>
            <w:shd w:val="clear" w:color="auto" w:fill="BDD6EE" w:themeFill="accent5" w:themeFillTint="66"/>
          </w:tcPr>
          <w:p w14:paraId="13FA23B2" w14:textId="4EA323E1" w:rsidR="00DC235C" w:rsidRPr="00D722C3" w:rsidRDefault="00492702" w:rsidP="00DC23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</w:t>
            </w:r>
            <w:r w:rsidR="00540E28">
              <w:rPr>
                <w:rFonts w:cstheme="minorHAnsi"/>
                <w:b/>
                <w:bCs/>
              </w:rPr>
              <w:t xml:space="preserve"> May</w:t>
            </w:r>
            <w:r w:rsidR="00DC235C" w:rsidRPr="00D722C3">
              <w:rPr>
                <w:rFonts w:cstheme="minorHAnsi"/>
                <w:b/>
                <w:bCs/>
              </w:rPr>
              <w:t xml:space="preserve"> </w:t>
            </w:r>
            <w:r w:rsidR="007C0BD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930" w:type="dxa"/>
            <w:shd w:val="clear" w:color="auto" w:fill="BDD6EE" w:themeFill="accent5" w:themeFillTint="66"/>
          </w:tcPr>
          <w:p w14:paraId="2B96CD0C" w14:textId="0DE4BEBE" w:rsidR="00DC235C" w:rsidRDefault="00DC235C" w:rsidP="00DC235C">
            <w:pPr>
              <w:rPr>
                <w:rFonts w:cstheme="minorHAnsi"/>
                <w:color w:val="000000"/>
              </w:rPr>
            </w:pPr>
            <w:r w:rsidRPr="00D722C3">
              <w:rPr>
                <w:rFonts w:cstheme="minorHAnsi"/>
                <w:color w:val="000000"/>
              </w:rPr>
              <w:t>F</w:t>
            </w:r>
            <w:r w:rsidRPr="00D722C3">
              <w:rPr>
                <w:rFonts w:cstheme="minorHAnsi"/>
                <w:color w:val="000000"/>
                <w:spacing w:val="-1"/>
              </w:rPr>
              <w:t>i</w:t>
            </w:r>
            <w:r w:rsidRPr="00D722C3">
              <w:rPr>
                <w:rFonts w:cstheme="minorHAnsi"/>
                <w:color w:val="000000"/>
              </w:rPr>
              <w:t>rst</w:t>
            </w:r>
            <w:r w:rsidRPr="00D722C3">
              <w:rPr>
                <w:rFonts w:cstheme="minorHAnsi"/>
                <w:color w:val="000000"/>
                <w:spacing w:val="1"/>
              </w:rPr>
              <w:t xml:space="preserve"> </w:t>
            </w:r>
            <w:r w:rsidRPr="00D722C3">
              <w:rPr>
                <w:rFonts w:cstheme="minorHAnsi"/>
                <w:color w:val="000000"/>
                <w:spacing w:val="-1"/>
              </w:rPr>
              <w:t>d</w:t>
            </w:r>
            <w:r w:rsidRPr="00D722C3">
              <w:rPr>
                <w:rFonts w:cstheme="minorHAnsi"/>
                <w:color w:val="000000"/>
              </w:rPr>
              <w:t>ay</w:t>
            </w:r>
            <w:r w:rsidRPr="00D722C3">
              <w:rPr>
                <w:rFonts w:cstheme="minorHAnsi"/>
                <w:color w:val="000000"/>
                <w:spacing w:val="-1"/>
              </w:rPr>
              <w:t xml:space="preserve"> </w:t>
            </w:r>
            <w:r w:rsidRPr="00D722C3">
              <w:rPr>
                <w:rFonts w:cstheme="minorHAnsi"/>
                <w:color w:val="000000"/>
              </w:rPr>
              <w:t>to</w:t>
            </w:r>
            <w:r w:rsidRPr="00D722C3">
              <w:rPr>
                <w:rFonts w:cstheme="minorHAnsi"/>
                <w:color w:val="000000"/>
                <w:spacing w:val="-1"/>
              </w:rPr>
              <w:t xml:space="preserve"> </w:t>
            </w:r>
            <w:r w:rsidRPr="00D722C3">
              <w:rPr>
                <w:rFonts w:cstheme="minorHAnsi"/>
                <w:color w:val="000000"/>
              </w:rPr>
              <w:t>su</w:t>
            </w:r>
            <w:r w:rsidRPr="00D722C3">
              <w:rPr>
                <w:rFonts w:cstheme="minorHAnsi"/>
                <w:color w:val="000000"/>
                <w:spacing w:val="-1"/>
              </w:rPr>
              <w:t>b</w:t>
            </w:r>
            <w:r w:rsidRPr="00D722C3">
              <w:rPr>
                <w:rFonts w:cstheme="minorHAnsi"/>
                <w:color w:val="000000"/>
                <w:spacing w:val="1"/>
              </w:rPr>
              <w:t>m</w:t>
            </w:r>
            <w:r w:rsidRPr="00D722C3">
              <w:rPr>
                <w:rFonts w:cstheme="minorHAnsi"/>
                <w:color w:val="000000"/>
              </w:rPr>
              <w:t>it</w:t>
            </w:r>
            <w:r w:rsidR="00822E7A">
              <w:rPr>
                <w:rFonts w:cstheme="minorHAnsi"/>
                <w:color w:val="000000"/>
              </w:rPr>
              <w:t xml:space="preserve"> BuyUSI</w:t>
            </w:r>
            <w:r w:rsidRPr="00D722C3">
              <w:rPr>
                <w:rFonts w:cstheme="minorHAnsi"/>
                <w:color w:val="000000"/>
                <w:spacing w:val="-2"/>
              </w:rPr>
              <w:t xml:space="preserve"> </w:t>
            </w:r>
            <w:r w:rsidR="00822E7A">
              <w:rPr>
                <w:rFonts w:cstheme="minorHAnsi"/>
                <w:color w:val="000000"/>
                <w:spacing w:val="-2"/>
              </w:rPr>
              <w:t>transactions</w:t>
            </w:r>
            <w:r w:rsidRPr="00D722C3">
              <w:rPr>
                <w:rFonts w:cstheme="minorHAnsi"/>
                <w:color w:val="000000"/>
                <w:spacing w:val="-2"/>
              </w:rPr>
              <w:t xml:space="preserve"> </w:t>
            </w:r>
            <w:r w:rsidRPr="00D722C3">
              <w:rPr>
                <w:rFonts w:cstheme="minorHAnsi"/>
                <w:color w:val="000000"/>
              </w:rPr>
              <w:t>f</w:t>
            </w:r>
            <w:r w:rsidRPr="00D722C3">
              <w:rPr>
                <w:rFonts w:cstheme="minorHAnsi"/>
                <w:color w:val="000000"/>
                <w:spacing w:val="1"/>
              </w:rPr>
              <w:t>o</w:t>
            </w:r>
            <w:r w:rsidRPr="00D722C3">
              <w:rPr>
                <w:rFonts w:cstheme="minorHAnsi"/>
                <w:color w:val="000000"/>
              </w:rPr>
              <w:t>r</w:t>
            </w:r>
            <w:r w:rsidRPr="00D722C3">
              <w:rPr>
                <w:rFonts w:cstheme="minorHAnsi"/>
                <w:color w:val="000000"/>
                <w:spacing w:val="-2"/>
              </w:rPr>
              <w:t xml:space="preserve"> </w:t>
            </w:r>
            <w:r w:rsidRPr="00D722C3">
              <w:rPr>
                <w:rFonts w:cstheme="minorHAnsi"/>
                <w:color w:val="000000"/>
                <w:spacing w:val="1"/>
              </w:rPr>
              <w:t>t</w:t>
            </w:r>
            <w:r w:rsidRPr="00D722C3">
              <w:rPr>
                <w:rFonts w:cstheme="minorHAnsi"/>
                <w:color w:val="000000"/>
                <w:spacing w:val="-1"/>
              </w:rPr>
              <w:t>h</w:t>
            </w:r>
            <w:r w:rsidRPr="00D722C3">
              <w:rPr>
                <w:rFonts w:cstheme="minorHAnsi"/>
                <w:color w:val="000000"/>
              </w:rPr>
              <w:t>e</w:t>
            </w:r>
            <w:r w:rsidRPr="00D722C3">
              <w:rPr>
                <w:rFonts w:cstheme="minorHAnsi"/>
                <w:color w:val="000000"/>
                <w:spacing w:val="-2"/>
              </w:rPr>
              <w:t xml:space="preserve"> </w:t>
            </w:r>
            <w:r w:rsidRPr="00D722C3">
              <w:rPr>
                <w:rFonts w:cstheme="minorHAnsi"/>
                <w:color w:val="000000"/>
              </w:rPr>
              <w:t>new</w:t>
            </w:r>
            <w:r w:rsidRPr="00D722C3">
              <w:rPr>
                <w:rFonts w:cstheme="minorHAnsi"/>
                <w:color w:val="000000"/>
                <w:spacing w:val="2"/>
              </w:rPr>
              <w:t xml:space="preserve"> </w:t>
            </w:r>
            <w:r w:rsidRPr="00D722C3">
              <w:rPr>
                <w:rFonts w:cstheme="minorHAnsi"/>
                <w:color w:val="000000"/>
              </w:rPr>
              <w:t>fi</w:t>
            </w:r>
            <w:r w:rsidRPr="00D722C3">
              <w:rPr>
                <w:rFonts w:cstheme="minorHAnsi"/>
                <w:color w:val="000000"/>
                <w:spacing w:val="-3"/>
              </w:rPr>
              <w:t>s</w:t>
            </w:r>
            <w:r w:rsidRPr="00D722C3">
              <w:rPr>
                <w:rFonts w:cstheme="minorHAnsi"/>
                <w:color w:val="000000"/>
              </w:rPr>
              <w:t xml:space="preserve">cal </w:t>
            </w:r>
            <w:r w:rsidRPr="00D722C3">
              <w:rPr>
                <w:rFonts w:cstheme="minorHAnsi"/>
                <w:color w:val="000000"/>
                <w:spacing w:val="1"/>
              </w:rPr>
              <w:t>y</w:t>
            </w:r>
            <w:r w:rsidRPr="00D722C3">
              <w:rPr>
                <w:rFonts w:cstheme="minorHAnsi"/>
                <w:color w:val="000000"/>
              </w:rPr>
              <w:t xml:space="preserve">ear </w:t>
            </w:r>
            <w:r w:rsidRPr="00D722C3">
              <w:rPr>
                <w:rFonts w:cstheme="minorHAnsi"/>
                <w:color w:val="000000"/>
                <w:spacing w:val="1"/>
              </w:rPr>
              <w:t>(</w:t>
            </w:r>
            <w:r w:rsidRPr="00D722C3">
              <w:rPr>
                <w:rFonts w:cstheme="minorHAnsi"/>
                <w:color w:val="000000"/>
                <w:spacing w:val="-3"/>
              </w:rPr>
              <w:t>F</w:t>
            </w:r>
            <w:r w:rsidRPr="00D722C3">
              <w:rPr>
                <w:rFonts w:cstheme="minorHAnsi"/>
                <w:color w:val="000000"/>
              </w:rPr>
              <w:t>Y</w:t>
            </w:r>
            <w:r w:rsidRPr="00D722C3">
              <w:rPr>
                <w:rFonts w:cstheme="minorHAnsi"/>
                <w:color w:val="000000"/>
                <w:spacing w:val="-1"/>
              </w:rPr>
              <w:t>2</w:t>
            </w:r>
            <w:r w:rsidR="007C0BD3">
              <w:rPr>
                <w:rFonts w:cstheme="minorHAnsi"/>
                <w:color w:val="000000"/>
                <w:spacing w:val="-1"/>
              </w:rPr>
              <w:t>4</w:t>
            </w:r>
            <w:r w:rsidR="00D81F8A">
              <w:rPr>
                <w:rFonts w:cstheme="minorHAnsi"/>
                <w:color w:val="000000"/>
                <w:spacing w:val="-1"/>
              </w:rPr>
              <w:t>)</w:t>
            </w:r>
            <w:r w:rsidRPr="00D722C3">
              <w:rPr>
                <w:rFonts w:cstheme="minorHAnsi"/>
                <w:color w:val="000000"/>
                <w:spacing w:val="1"/>
              </w:rPr>
              <w:t xml:space="preserve"> </w:t>
            </w:r>
            <w:r w:rsidR="00E51C09">
              <w:rPr>
                <w:rFonts w:cstheme="minorHAnsi"/>
                <w:color w:val="000000"/>
                <w:spacing w:val="1"/>
              </w:rPr>
              <w:t xml:space="preserve">that begins on </w:t>
            </w:r>
            <w:r w:rsidRPr="00D722C3">
              <w:rPr>
                <w:rFonts w:cstheme="minorHAnsi"/>
                <w:color w:val="000000"/>
              </w:rPr>
              <w:t>J</w:t>
            </w:r>
            <w:r w:rsidRPr="00D722C3">
              <w:rPr>
                <w:rFonts w:cstheme="minorHAnsi"/>
                <w:color w:val="000000"/>
                <w:spacing w:val="-1"/>
              </w:rPr>
              <w:t>u</w:t>
            </w:r>
            <w:r w:rsidRPr="00D722C3">
              <w:rPr>
                <w:rFonts w:cstheme="minorHAnsi"/>
                <w:color w:val="000000"/>
              </w:rPr>
              <w:t>ly</w:t>
            </w:r>
            <w:r w:rsidRPr="00D722C3">
              <w:rPr>
                <w:rFonts w:cstheme="minorHAnsi"/>
                <w:color w:val="000000"/>
                <w:spacing w:val="-1"/>
              </w:rPr>
              <w:t xml:space="preserve"> </w:t>
            </w:r>
            <w:r w:rsidRPr="00D722C3">
              <w:rPr>
                <w:rFonts w:cstheme="minorHAnsi"/>
                <w:color w:val="000000"/>
                <w:spacing w:val="1"/>
              </w:rPr>
              <w:t>1</w:t>
            </w:r>
            <w:r w:rsidRPr="00D722C3">
              <w:rPr>
                <w:rFonts w:cstheme="minorHAnsi"/>
                <w:color w:val="000000"/>
              </w:rPr>
              <w:t xml:space="preserve">, </w:t>
            </w:r>
            <w:r w:rsidRPr="00D722C3">
              <w:rPr>
                <w:rFonts w:cstheme="minorHAnsi"/>
                <w:color w:val="000000"/>
                <w:spacing w:val="-1"/>
              </w:rPr>
              <w:t>2</w:t>
            </w:r>
            <w:r w:rsidRPr="00D722C3">
              <w:rPr>
                <w:rFonts w:cstheme="minorHAnsi"/>
                <w:color w:val="000000"/>
                <w:spacing w:val="-2"/>
              </w:rPr>
              <w:t>02</w:t>
            </w:r>
            <w:r w:rsidR="007C0BD3">
              <w:rPr>
                <w:rFonts w:cstheme="minorHAnsi"/>
                <w:color w:val="000000"/>
                <w:spacing w:val="-2"/>
              </w:rPr>
              <w:t>3</w:t>
            </w:r>
            <w:r w:rsidRPr="00D722C3">
              <w:rPr>
                <w:rFonts w:cstheme="minorHAnsi"/>
                <w:color w:val="000000"/>
              </w:rPr>
              <w:t>.</w:t>
            </w:r>
          </w:p>
          <w:p w14:paraId="2378521F" w14:textId="77777777" w:rsidR="007E0496" w:rsidRDefault="007E0496" w:rsidP="00DC235C">
            <w:pPr>
              <w:rPr>
                <w:rFonts w:cstheme="minorHAnsi"/>
                <w:color w:val="000000"/>
              </w:rPr>
            </w:pPr>
          </w:p>
          <w:p w14:paraId="6DCB7263" w14:textId="391A2C71" w:rsidR="007E0496" w:rsidRPr="00D722C3" w:rsidRDefault="007E0496" w:rsidP="00DC235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For </w:t>
            </w:r>
            <w:r w:rsidR="00D43A2A">
              <w:rPr>
                <w:rFonts w:cstheme="minorHAnsi"/>
                <w:color w:val="000000"/>
              </w:rPr>
              <w:t>all</w:t>
            </w:r>
            <w:r w:rsidR="00A648BD">
              <w:rPr>
                <w:rFonts w:cstheme="minorHAnsi"/>
                <w:color w:val="000000"/>
              </w:rPr>
              <w:t xml:space="preserve"> BuyUSI transaction</w:t>
            </w:r>
            <w:r w:rsidR="00572B67">
              <w:rPr>
                <w:rFonts w:cstheme="minorHAnsi"/>
                <w:color w:val="000000"/>
              </w:rPr>
              <w:t>s</w:t>
            </w:r>
            <w:r w:rsidR="00A648BD">
              <w:rPr>
                <w:rFonts w:cstheme="minorHAnsi"/>
                <w:color w:val="000000"/>
              </w:rPr>
              <w:t xml:space="preserve"> entered and</w:t>
            </w:r>
            <w:r>
              <w:rPr>
                <w:rFonts w:cstheme="minorHAnsi"/>
                <w:color w:val="000000"/>
              </w:rPr>
              <w:t xml:space="preserve"> dated in current fiscal year (FY2</w:t>
            </w:r>
            <w:r w:rsidR="007C0BD3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 xml:space="preserve">), Procurement will analyze and assign the appropriate fiscal year date to allocate the </w:t>
            </w:r>
            <w:r w:rsidR="00A648BD">
              <w:rPr>
                <w:rFonts w:cstheme="minorHAnsi"/>
                <w:color w:val="000000"/>
              </w:rPr>
              <w:t>transaction to the appropriate fiscal year.</w:t>
            </w:r>
          </w:p>
          <w:p w14:paraId="7E3830C3" w14:textId="38ABA2F1" w:rsidR="006C5BA7" w:rsidRPr="00D722C3" w:rsidRDefault="006C5BA7" w:rsidP="00DC235C">
            <w:pPr>
              <w:rPr>
                <w:rFonts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BDD6EE" w:themeFill="accent5" w:themeFillTint="66"/>
          </w:tcPr>
          <w:p w14:paraId="4CB3A585" w14:textId="00C3F527" w:rsidR="00DC235C" w:rsidRPr="00D722C3" w:rsidRDefault="00DC235C" w:rsidP="00DC235C">
            <w:pPr>
              <w:jc w:val="center"/>
              <w:rPr>
                <w:rFonts w:cstheme="minorHAnsi"/>
              </w:rPr>
            </w:pPr>
            <w:r w:rsidRPr="00D722C3">
              <w:rPr>
                <w:rFonts w:cstheme="minorHAnsi"/>
              </w:rPr>
              <w:t>Procurement</w:t>
            </w:r>
          </w:p>
        </w:tc>
      </w:tr>
      <w:tr w:rsidR="00DC235C" w:rsidRPr="00D722C3" w14:paraId="35873F96" w14:textId="77777777" w:rsidTr="00DC235C">
        <w:tc>
          <w:tcPr>
            <w:tcW w:w="1980" w:type="dxa"/>
          </w:tcPr>
          <w:p w14:paraId="49F8F4A6" w14:textId="1B763353" w:rsidR="00DC235C" w:rsidRPr="00D722C3" w:rsidRDefault="007C0BD3" w:rsidP="00DC23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</w:t>
            </w:r>
            <w:r w:rsidR="00DC235C" w:rsidRPr="00D722C3">
              <w:rPr>
                <w:rFonts w:cstheme="minorHAnsi"/>
                <w:b/>
                <w:bCs/>
              </w:rPr>
              <w:t xml:space="preserve"> Jun 15</w:t>
            </w:r>
          </w:p>
        </w:tc>
        <w:tc>
          <w:tcPr>
            <w:tcW w:w="6930" w:type="dxa"/>
          </w:tcPr>
          <w:p w14:paraId="37715812" w14:textId="77777777" w:rsidR="00E51C09" w:rsidRDefault="00DC235C" w:rsidP="00DC235C">
            <w:pPr>
              <w:rPr>
                <w:rFonts w:cstheme="minorHAnsi"/>
              </w:rPr>
            </w:pPr>
            <w:r w:rsidRPr="00D722C3">
              <w:rPr>
                <w:rFonts w:cstheme="minorHAnsi"/>
              </w:rPr>
              <w:t>Last day for purchas</w:t>
            </w:r>
            <w:r w:rsidR="00BF6695">
              <w:rPr>
                <w:rFonts w:cstheme="minorHAnsi"/>
              </w:rPr>
              <w:t>ing card</w:t>
            </w:r>
            <w:r w:rsidRPr="00D722C3">
              <w:rPr>
                <w:rFonts w:cstheme="minorHAnsi"/>
              </w:rPr>
              <w:t xml:space="preserve"> and travel card transactions posted by the bank to be charged to the current fiscal year. It depends on when the bank posts the charge, </w:t>
            </w:r>
            <w:bookmarkStart w:id="0" w:name="_Hlk136845842"/>
            <w:r w:rsidRPr="00D722C3">
              <w:rPr>
                <w:rFonts w:cstheme="minorHAnsi"/>
              </w:rPr>
              <w:t xml:space="preserve">not when the transaction occurs. </w:t>
            </w:r>
            <w:bookmarkStart w:id="1" w:name="_Hlk136845876"/>
            <w:r w:rsidRPr="00D722C3">
              <w:rPr>
                <w:rFonts w:cstheme="minorHAnsi"/>
              </w:rPr>
              <w:t>This would also include travel purchases through Travel Procurement.</w:t>
            </w:r>
            <w:r w:rsidR="007C0BD3">
              <w:rPr>
                <w:rFonts w:cstheme="minorHAnsi"/>
              </w:rPr>
              <w:t xml:space="preserve"> </w:t>
            </w:r>
            <w:bookmarkEnd w:id="0"/>
          </w:p>
          <w:p w14:paraId="1D59C515" w14:textId="77777777" w:rsidR="00E51C09" w:rsidRDefault="00E51C09" w:rsidP="00DC235C">
            <w:pPr>
              <w:rPr>
                <w:rFonts w:cstheme="minorHAnsi"/>
              </w:rPr>
            </w:pPr>
          </w:p>
          <w:p w14:paraId="1A5B0FA4" w14:textId="491AFC2E" w:rsidR="00DC235C" w:rsidRPr="00D722C3" w:rsidRDefault="007C0BD3" w:rsidP="00DC235C">
            <w:pPr>
              <w:rPr>
                <w:rFonts w:cstheme="minorHAnsi"/>
              </w:rPr>
            </w:pPr>
            <w:r>
              <w:rPr>
                <w:rFonts w:cstheme="minorHAnsi"/>
              </w:rPr>
              <w:t>Last day to submit a BuyUSI order</w:t>
            </w:r>
            <w:r w:rsidR="00E51C09">
              <w:rPr>
                <w:rFonts w:cstheme="minorHAnsi"/>
              </w:rPr>
              <w:t xml:space="preserve"> for FY23</w:t>
            </w:r>
            <w:r>
              <w:rPr>
                <w:rFonts w:cstheme="minorHAnsi"/>
              </w:rPr>
              <w:t>.</w:t>
            </w:r>
          </w:p>
          <w:bookmarkEnd w:id="1"/>
          <w:p w14:paraId="6ECE6748" w14:textId="58D91081" w:rsidR="006C5BA7" w:rsidRPr="00D722C3" w:rsidRDefault="006C5BA7" w:rsidP="00DC235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F5D3355" w14:textId="1BD1A6CC" w:rsidR="00DC235C" w:rsidRPr="00D722C3" w:rsidRDefault="00DC235C" w:rsidP="00DC235C">
            <w:pPr>
              <w:jc w:val="center"/>
              <w:rPr>
                <w:rFonts w:cstheme="minorHAnsi"/>
              </w:rPr>
            </w:pPr>
            <w:r w:rsidRPr="00D722C3">
              <w:rPr>
                <w:rFonts w:cstheme="minorHAnsi"/>
              </w:rPr>
              <w:t>Accounts Payable</w:t>
            </w:r>
            <w:r w:rsidR="007C0BD3">
              <w:rPr>
                <w:rFonts w:cstheme="minorHAnsi"/>
              </w:rPr>
              <w:t>,</w:t>
            </w:r>
            <w:r w:rsidRPr="00D722C3">
              <w:rPr>
                <w:rFonts w:cstheme="minorHAnsi"/>
              </w:rPr>
              <w:t xml:space="preserve"> Travel</w:t>
            </w:r>
            <w:r w:rsidR="007C0BD3">
              <w:rPr>
                <w:rFonts w:cstheme="minorHAnsi"/>
              </w:rPr>
              <w:t xml:space="preserve"> </w:t>
            </w:r>
            <w:r w:rsidRPr="00D722C3">
              <w:rPr>
                <w:rFonts w:cstheme="minorHAnsi"/>
              </w:rPr>
              <w:t>Procurement</w:t>
            </w:r>
            <w:r w:rsidR="007C0BD3">
              <w:rPr>
                <w:rFonts w:cstheme="minorHAnsi"/>
              </w:rPr>
              <w:t>, and Procurement</w:t>
            </w:r>
          </w:p>
        </w:tc>
      </w:tr>
      <w:tr w:rsidR="00DC235C" w:rsidRPr="00D722C3" w14:paraId="3AE12CE8" w14:textId="77777777" w:rsidTr="006C5BA7">
        <w:tc>
          <w:tcPr>
            <w:tcW w:w="1980" w:type="dxa"/>
            <w:shd w:val="clear" w:color="auto" w:fill="BDD6EE" w:themeFill="accent5" w:themeFillTint="66"/>
          </w:tcPr>
          <w:p w14:paraId="209F3323" w14:textId="0676FF3A" w:rsidR="00DC235C" w:rsidRPr="00D722C3" w:rsidRDefault="00D81F8A" w:rsidP="00DC23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Tue</w:t>
            </w:r>
            <w:r w:rsidR="00DC235C" w:rsidRPr="00D722C3">
              <w:rPr>
                <w:rFonts w:cstheme="minorHAnsi"/>
                <w:b/>
                <w:bCs/>
              </w:rPr>
              <w:t xml:space="preserve"> Jun </w:t>
            </w:r>
            <w:r w:rsidR="00492702">
              <w:rPr>
                <w:rFonts w:cstheme="minorHAnsi"/>
                <w:b/>
                <w:bCs/>
              </w:rPr>
              <w:t>2</w:t>
            </w:r>
            <w:r w:rsidR="007C0B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930" w:type="dxa"/>
            <w:shd w:val="clear" w:color="auto" w:fill="BDD6EE" w:themeFill="accent5" w:themeFillTint="66"/>
          </w:tcPr>
          <w:p w14:paraId="16F741E2" w14:textId="74F6F1CC" w:rsidR="009379A0" w:rsidRPr="00D722C3" w:rsidRDefault="009379A0" w:rsidP="009379A0">
            <w:pPr>
              <w:rPr>
                <w:rFonts w:cstheme="minorHAnsi"/>
              </w:rPr>
            </w:pPr>
            <w:bookmarkStart w:id="2" w:name="_Hlk136846142"/>
            <w:r w:rsidRPr="00D722C3">
              <w:rPr>
                <w:rFonts w:cstheme="minorHAnsi"/>
              </w:rPr>
              <w:t xml:space="preserve">Last day to submit Chrome River Expense Reports </w:t>
            </w:r>
            <w:r w:rsidR="00316164">
              <w:rPr>
                <w:rFonts w:cstheme="minorHAnsi"/>
              </w:rPr>
              <w:t xml:space="preserve">to Accounts Payable for </w:t>
            </w:r>
            <w:r w:rsidRPr="00D722C3">
              <w:rPr>
                <w:rFonts w:cstheme="minorHAnsi"/>
              </w:rPr>
              <w:t>travel dates ending on or before June 15</w:t>
            </w:r>
            <w:r w:rsidR="0031616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bookmarkEnd w:id="2"/>
            <w:r>
              <w:rPr>
                <w:rFonts w:cstheme="minorHAnsi"/>
              </w:rPr>
              <w:t>(This includes travel reimbursements and allocations of travel card transactions.)</w:t>
            </w:r>
          </w:p>
          <w:p w14:paraId="589E1907" w14:textId="77777777" w:rsidR="009379A0" w:rsidRDefault="009379A0" w:rsidP="00DC235C">
            <w:pPr>
              <w:rPr>
                <w:rFonts w:cstheme="minorHAnsi"/>
              </w:rPr>
            </w:pPr>
          </w:p>
          <w:p w14:paraId="1BC6E77F" w14:textId="5C5FBF3A" w:rsidR="00DC235C" w:rsidRPr="00D722C3" w:rsidRDefault="00DC235C" w:rsidP="00DC235C">
            <w:pPr>
              <w:rPr>
                <w:rFonts w:cstheme="minorHAnsi"/>
              </w:rPr>
            </w:pPr>
            <w:r w:rsidRPr="00D722C3">
              <w:rPr>
                <w:rFonts w:cstheme="minorHAnsi"/>
              </w:rPr>
              <w:t>Last day to reconcile purchas</w:t>
            </w:r>
            <w:r w:rsidR="00BF6695">
              <w:rPr>
                <w:rFonts w:cstheme="minorHAnsi"/>
              </w:rPr>
              <w:t>ing</w:t>
            </w:r>
            <w:r w:rsidRPr="00D722C3">
              <w:rPr>
                <w:rFonts w:cstheme="minorHAnsi"/>
              </w:rPr>
              <w:t xml:space="preserve"> card transactions</w:t>
            </w:r>
            <w:r w:rsidR="009379A0">
              <w:rPr>
                <w:rFonts w:cstheme="minorHAnsi"/>
              </w:rPr>
              <w:t xml:space="preserve"> posted through June 15.</w:t>
            </w:r>
          </w:p>
          <w:p w14:paraId="167990CC" w14:textId="3273B3D6" w:rsidR="006C5BA7" w:rsidRPr="00D722C3" w:rsidRDefault="006C5BA7" w:rsidP="00DC235C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BDD6EE" w:themeFill="accent5" w:themeFillTint="66"/>
          </w:tcPr>
          <w:p w14:paraId="17AE32D1" w14:textId="77777777" w:rsidR="00DC235C" w:rsidRDefault="00DC235C" w:rsidP="00DC235C">
            <w:pPr>
              <w:jc w:val="center"/>
              <w:rPr>
                <w:rFonts w:cstheme="minorHAnsi"/>
              </w:rPr>
            </w:pPr>
            <w:r w:rsidRPr="00D722C3">
              <w:rPr>
                <w:rFonts w:cstheme="minorHAnsi"/>
              </w:rPr>
              <w:t>Accounts Payable</w:t>
            </w:r>
          </w:p>
          <w:p w14:paraId="04536AE9" w14:textId="77777777" w:rsidR="009379A0" w:rsidRDefault="009379A0" w:rsidP="00DC235C">
            <w:pPr>
              <w:jc w:val="center"/>
              <w:rPr>
                <w:rFonts w:cstheme="minorHAnsi"/>
              </w:rPr>
            </w:pPr>
          </w:p>
          <w:p w14:paraId="1FA5DF03" w14:textId="77777777" w:rsidR="009379A0" w:rsidRDefault="009379A0" w:rsidP="00DC235C">
            <w:pPr>
              <w:jc w:val="center"/>
              <w:rPr>
                <w:rFonts w:cstheme="minorHAnsi"/>
              </w:rPr>
            </w:pPr>
          </w:p>
          <w:p w14:paraId="131609B8" w14:textId="77777777" w:rsidR="009379A0" w:rsidRDefault="009379A0" w:rsidP="00DC235C">
            <w:pPr>
              <w:jc w:val="center"/>
              <w:rPr>
                <w:rFonts w:cstheme="minorHAnsi"/>
              </w:rPr>
            </w:pPr>
          </w:p>
          <w:p w14:paraId="50B495BC" w14:textId="4AC39E4C" w:rsidR="009379A0" w:rsidRPr="00D722C3" w:rsidRDefault="009379A0" w:rsidP="00DC2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Accounts Payable</w:t>
            </w:r>
          </w:p>
        </w:tc>
      </w:tr>
      <w:tr w:rsidR="00DC235C" w:rsidRPr="00D722C3" w14:paraId="052ADE6E" w14:textId="77777777" w:rsidTr="00DC235C">
        <w:tc>
          <w:tcPr>
            <w:tcW w:w="1980" w:type="dxa"/>
          </w:tcPr>
          <w:p w14:paraId="6B84916D" w14:textId="4B20322C" w:rsidR="00DC235C" w:rsidRPr="00D722C3" w:rsidRDefault="00D81F8A" w:rsidP="00DC23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</w:t>
            </w:r>
            <w:r w:rsidR="00DC235C" w:rsidRPr="00D722C3">
              <w:rPr>
                <w:rFonts w:cstheme="minorHAnsi"/>
                <w:b/>
                <w:bCs/>
              </w:rPr>
              <w:t xml:space="preserve"> Ju</w:t>
            </w:r>
            <w:r w:rsidR="009379A0">
              <w:rPr>
                <w:rFonts w:cstheme="minorHAnsi"/>
                <w:b/>
                <w:bCs/>
              </w:rPr>
              <w:t>l</w:t>
            </w:r>
            <w:r w:rsidR="00DC235C" w:rsidRPr="00D722C3">
              <w:rPr>
                <w:rFonts w:cstheme="minorHAnsi"/>
                <w:b/>
                <w:bCs/>
              </w:rPr>
              <w:t xml:space="preserve"> </w:t>
            </w:r>
            <w:r w:rsidR="007C0BD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930" w:type="dxa"/>
          </w:tcPr>
          <w:p w14:paraId="74D3418E" w14:textId="63744AB4" w:rsidR="00DC235C" w:rsidRDefault="00DC235C" w:rsidP="009379A0">
            <w:pPr>
              <w:rPr>
                <w:rFonts w:cstheme="minorHAnsi"/>
              </w:rPr>
            </w:pPr>
            <w:r w:rsidRPr="00D722C3">
              <w:rPr>
                <w:rFonts w:cstheme="minorHAnsi"/>
              </w:rPr>
              <w:t xml:space="preserve">Last day to </w:t>
            </w:r>
            <w:r w:rsidR="009379A0">
              <w:rPr>
                <w:rFonts w:cstheme="minorHAnsi"/>
              </w:rPr>
              <w:t>submit direct pay forms for goods and services received prior to June 30.</w:t>
            </w:r>
          </w:p>
          <w:p w14:paraId="7F62D465" w14:textId="0D7B344F" w:rsidR="00DB41FC" w:rsidRDefault="00DB41FC" w:rsidP="009379A0">
            <w:pPr>
              <w:rPr>
                <w:rFonts w:cstheme="minorHAnsi"/>
              </w:rPr>
            </w:pPr>
          </w:p>
          <w:p w14:paraId="4A9279DD" w14:textId="5A70E6CB" w:rsidR="00DB41FC" w:rsidRDefault="00DB41FC" w:rsidP="009379A0">
            <w:pPr>
              <w:rPr>
                <w:rFonts w:cstheme="minorHAnsi"/>
              </w:rPr>
            </w:pPr>
            <w:r>
              <w:rPr>
                <w:rFonts w:cstheme="minorHAnsi"/>
              </w:rPr>
              <w:t>Last day to submit payment notifications for bank withdrawals occurring through June 30.</w:t>
            </w:r>
          </w:p>
          <w:p w14:paraId="57CBF7EF" w14:textId="4269EDC4" w:rsidR="00697E3A" w:rsidRPr="00D722C3" w:rsidRDefault="00697E3A" w:rsidP="00DC235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DED8341" w14:textId="77777777" w:rsidR="00DC235C" w:rsidRDefault="00DC235C" w:rsidP="00DC235C">
            <w:pPr>
              <w:jc w:val="center"/>
              <w:rPr>
                <w:rFonts w:cstheme="minorHAnsi"/>
              </w:rPr>
            </w:pPr>
            <w:r w:rsidRPr="00D722C3">
              <w:rPr>
                <w:rFonts w:cstheme="minorHAnsi"/>
              </w:rPr>
              <w:t>Accounts Payable</w:t>
            </w:r>
          </w:p>
          <w:p w14:paraId="27651679" w14:textId="77777777" w:rsidR="00DB41FC" w:rsidRDefault="00DB41FC" w:rsidP="00DC235C">
            <w:pPr>
              <w:jc w:val="center"/>
              <w:rPr>
                <w:rFonts w:cstheme="minorHAnsi"/>
              </w:rPr>
            </w:pPr>
          </w:p>
          <w:p w14:paraId="0485043D" w14:textId="77777777" w:rsidR="00DB41FC" w:rsidRDefault="00DB41FC" w:rsidP="00DC235C">
            <w:pPr>
              <w:jc w:val="center"/>
              <w:rPr>
                <w:rFonts w:cstheme="minorHAnsi"/>
              </w:rPr>
            </w:pPr>
          </w:p>
          <w:p w14:paraId="46F3770C" w14:textId="50E2A964" w:rsidR="00DB41FC" w:rsidRPr="00D722C3" w:rsidRDefault="00DB41FC" w:rsidP="00DC2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Accounts Payable</w:t>
            </w:r>
          </w:p>
        </w:tc>
      </w:tr>
    </w:tbl>
    <w:p w14:paraId="0DEF320E" w14:textId="66E6E283" w:rsidR="00D722C3" w:rsidRPr="00D722C3" w:rsidRDefault="00D722C3" w:rsidP="00D722C3">
      <w:pPr>
        <w:spacing w:after="0" w:line="240" w:lineRule="auto"/>
        <w:ind w:left="-720"/>
        <w:rPr>
          <w:rFonts w:cstheme="minorHAnsi"/>
        </w:rPr>
      </w:pPr>
    </w:p>
    <w:p w14:paraId="428CACA8" w14:textId="4CD140C6" w:rsidR="00D722C3" w:rsidRPr="00D722C3" w:rsidRDefault="00D722C3" w:rsidP="00D722C3">
      <w:pPr>
        <w:spacing w:after="0" w:line="240" w:lineRule="auto"/>
        <w:ind w:left="-720"/>
        <w:rPr>
          <w:rFonts w:cstheme="minorHAnsi"/>
          <w:b/>
          <w:bCs/>
        </w:rPr>
      </w:pPr>
      <w:r w:rsidRPr="00D722C3">
        <w:rPr>
          <w:rFonts w:cstheme="minorHAnsi"/>
          <w:b/>
          <w:bCs/>
        </w:rPr>
        <w:t>Notes:</w:t>
      </w:r>
    </w:p>
    <w:p w14:paraId="12AEBAC2" w14:textId="543F5B40" w:rsidR="00D722C3" w:rsidRPr="00D722C3" w:rsidRDefault="00D722C3" w:rsidP="00D722C3">
      <w:pPr>
        <w:spacing w:after="0" w:line="240" w:lineRule="auto"/>
        <w:ind w:left="-720"/>
        <w:rPr>
          <w:rFonts w:cstheme="minorHAnsi"/>
        </w:rPr>
      </w:pPr>
    </w:p>
    <w:p w14:paraId="16818FEE" w14:textId="3E148152" w:rsidR="00D722C3" w:rsidRPr="00D722C3" w:rsidRDefault="00FA52DF" w:rsidP="00D722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3" w:name="_Hlk136846364"/>
      <w:r>
        <w:rPr>
          <w:rFonts w:cstheme="minorHAnsi"/>
        </w:rPr>
        <w:t xml:space="preserve">Accounting principles </w:t>
      </w:r>
      <w:r w:rsidR="00D722C3" w:rsidRPr="00D722C3">
        <w:rPr>
          <w:rFonts w:cstheme="minorHAnsi"/>
        </w:rPr>
        <w:t>require</w:t>
      </w:r>
      <w:r>
        <w:rPr>
          <w:rFonts w:cstheme="minorHAnsi"/>
        </w:rPr>
        <w:t xml:space="preserve"> the University to </w:t>
      </w:r>
      <w:r w:rsidR="00D722C3" w:rsidRPr="00D722C3">
        <w:rPr>
          <w:rFonts w:cstheme="minorHAnsi"/>
        </w:rPr>
        <w:t>record</w:t>
      </w:r>
      <w:r>
        <w:rPr>
          <w:rFonts w:cstheme="minorHAnsi"/>
        </w:rPr>
        <w:t xml:space="preserve"> expenses</w:t>
      </w:r>
      <w:r w:rsidR="00D722C3" w:rsidRPr="00D722C3">
        <w:rPr>
          <w:rFonts w:cstheme="minorHAnsi"/>
        </w:rPr>
        <w:t xml:space="preserve"> in the </w:t>
      </w:r>
      <w:r w:rsidR="00815C33">
        <w:rPr>
          <w:rFonts w:cstheme="minorHAnsi"/>
        </w:rPr>
        <w:t>fiscal year</w:t>
      </w:r>
      <w:r w:rsidR="00D722C3" w:rsidRPr="00D722C3">
        <w:rPr>
          <w:rFonts w:cstheme="minorHAnsi"/>
        </w:rPr>
        <w:t xml:space="preserve"> </w:t>
      </w:r>
      <w:r w:rsidR="00326E9F">
        <w:rPr>
          <w:rFonts w:cstheme="minorHAnsi"/>
        </w:rPr>
        <w:t>in which</w:t>
      </w:r>
      <w:r w:rsidR="00D722C3" w:rsidRPr="00D722C3">
        <w:rPr>
          <w:rFonts w:cstheme="minorHAnsi"/>
        </w:rPr>
        <w:t xml:space="preserve"> goods are received and/or services are rendered. </w:t>
      </w:r>
      <w:r>
        <w:rPr>
          <w:rFonts w:cstheme="minorHAnsi"/>
        </w:rPr>
        <w:t xml:space="preserve">Therefore, </w:t>
      </w:r>
      <w:r w:rsidR="00292255">
        <w:rPr>
          <w:rFonts w:cstheme="minorHAnsi"/>
        </w:rPr>
        <w:t xml:space="preserve">the date </w:t>
      </w:r>
      <w:r w:rsidR="004B7113">
        <w:rPr>
          <w:rFonts w:cstheme="minorHAnsi"/>
        </w:rPr>
        <w:t>an order</w:t>
      </w:r>
      <w:r>
        <w:rPr>
          <w:rFonts w:cstheme="minorHAnsi"/>
        </w:rPr>
        <w:t xml:space="preserve"> is placed does not determine if the expense is charged to FY2</w:t>
      </w:r>
      <w:r w:rsidR="007C0BD3">
        <w:rPr>
          <w:rFonts w:cstheme="minorHAnsi"/>
        </w:rPr>
        <w:t>3</w:t>
      </w:r>
      <w:r>
        <w:rPr>
          <w:rFonts w:cstheme="minorHAnsi"/>
        </w:rPr>
        <w:t xml:space="preserve"> or FY2</w:t>
      </w:r>
      <w:r w:rsidR="007C0BD3">
        <w:rPr>
          <w:rFonts w:cstheme="minorHAnsi"/>
        </w:rPr>
        <w:t>4</w:t>
      </w:r>
      <w:r>
        <w:rPr>
          <w:rFonts w:cstheme="minorHAnsi"/>
        </w:rPr>
        <w:t xml:space="preserve">. </w:t>
      </w:r>
      <w:r w:rsidRPr="00FA52DF">
        <w:rPr>
          <w:rFonts w:cstheme="minorHAnsi"/>
        </w:rPr>
        <w:t xml:space="preserve"> </w:t>
      </w:r>
      <w:r>
        <w:rPr>
          <w:rFonts w:cstheme="minorHAnsi"/>
        </w:rPr>
        <w:t>Orders</w:t>
      </w:r>
      <w:r w:rsidRPr="00FA52DF">
        <w:rPr>
          <w:rFonts w:cstheme="minorHAnsi"/>
        </w:rPr>
        <w:t xml:space="preserve"> received </w:t>
      </w:r>
      <w:r>
        <w:rPr>
          <w:rFonts w:cstheme="minorHAnsi"/>
        </w:rPr>
        <w:t>by</w:t>
      </w:r>
      <w:r w:rsidRPr="00FA52DF">
        <w:rPr>
          <w:rFonts w:cstheme="minorHAnsi"/>
        </w:rPr>
        <w:t xml:space="preserve"> June 30, 20</w:t>
      </w:r>
      <w:r>
        <w:rPr>
          <w:rFonts w:cstheme="minorHAnsi"/>
        </w:rPr>
        <w:t>2</w:t>
      </w:r>
      <w:r w:rsidR="003944AB">
        <w:rPr>
          <w:rFonts w:cstheme="minorHAnsi"/>
        </w:rPr>
        <w:t>3</w:t>
      </w:r>
      <w:r w:rsidR="00510CAE">
        <w:rPr>
          <w:rFonts w:cstheme="minorHAnsi"/>
        </w:rPr>
        <w:t>,</w:t>
      </w:r>
      <w:r w:rsidRPr="00FA52DF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815C33">
        <w:rPr>
          <w:rFonts w:cstheme="minorHAnsi"/>
        </w:rPr>
        <w:t>ust</w:t>
      </w:r>
      <w:r>
        <w:rPr>
          <w:rFonts w:cstheme="minorHAnsi"/>
        </w:rPr>
        <w:t xml:space="preserve"> be</w:t>
      </w:r>
      <w:r w:rsidRPr="00FA52DF">
        <w:rPr>
          <w:rFonts w:cstheme="minorHAnsi"/>
        </w:rPr>
        <w:t xml:space="preserve"> charged to F</w:t>
      </w:r>
      <w:r>
        <w:rPr>
          <w:rFonts w:cstheme="minorHAnsi"/>
        </w:rPr>
        <w:t>Y2</w:t>
      </w:r>
      <w:r w:rsidR="003944AB">
        <w:rPr>
          <w:rFonts w:cstheme="minorHAnsi"/>
        </w:rPr>
        <w:t>3</w:t>
      </w:r>
      <w:r>
        <w:rPr>
          <w:rFonts w:cstheme="minorHAnsi"/>
        </w:rPr>
        <w:t>, and</w:t>
      </w:r>
      <w:r w:rsidR="00815C33">
        <w:rPr>
          <w:rFonts w:cstheme="minorHAnsi"/>
        </w:rPr>
        <w:t xml:space="preserve"> only</w:t>
      </w:r>
      <w:r>
        <w:rPr>
          <w:rFonts w:cstheme="minorHAnsi"/>
        </w:rPr>
        <w:t xml:space="preserve"> orders received after June 30, 202</w:t>
      </w:r>
      <w:r w:rsidR="003944AB">
        <w:rPr>
          <w:rFonts w:cstheme="minorHAnsi"/>
        </w:rPr>
        <w:t>3</w:t>
      </w:r>
      <w:r w:rsidR="00326E9F">
        <w:rPr>
          <w:rFonts w:cstheme="minorHAnsi"/>
        </w:rPr>
        <w:t>,</w:t>
      </w:r>
      <w:r>
        <w:rPr>
          <w:rFonts w:cstheme="minorHAnsi"/>
        </w:rPr>
        <w:t xml:space="preserve"> m</w:t>
      </w:r>
      <w:r w:rsidR="00815C33">
        <w:rPr>
          <w:rFonts w:cstheme="minorHAnsi"/>
        </w:rPr>
        <w:t>ay</w:t>
      </w:r>
      <w:r>
        <w:rPr>
          <w:rFonts w:cstheme="minorHAnsi"/>
        </w:rPr>
        <w:t xml:space="preserve"> be charged to FY2</w:t>
      </w:r>
      <w:r w:rsidR="003944AB">
        <w:rPr>
          <w:rFonts w:cstheme="minorHAnsi"/>
        </w:rPr>
        <w:t>4</w:t>
      </w:r>
      <w:r w:rsidRPr="00FA52DF">
        <w:rPr>
          <w:rFonts w:cstheme="minorHAnsi"/>
        </w:rPr>
        <w:t xml:space="preserve">. </w:t>
      </w:r>
      <w:r w:rsidR="00D722C3" w:rsidRPr="00D722C3">
        <w:rPr>
          <w:rFonts w:cstheme="minorHAnsi"/>
        </w:rPr>
        <w:t>Factors such as budget a</w:t>
      </w:r>
      <w:r>
        <w:rPr>
          <w:rFonts w:cstheme="minorHAnsi"/>
        </w:rPr>
        <w:t>vailability</w:t>
      </w:r>
      <w:r w:rsidR="00D722C3" w:rsidRPr="00D722C3">
        <w:rPr>
          <w:rFonts w:cstheme="minorHAnsi"/>
        </w:rPr>
        <w:t xml:space="preserve">, invoice receipt, or </w:t>
      </w:r>
      <w:r w:rsidR="00815C33">
        <w:rPr>
          <w:rFonts w:cstheme="minorHAnsi"/>
        </w:rPr>
        <w:t xml:space="preserve">date of </w:t>
      </w:r>
      <w:r w:rsidR="00D722C3" w:rsidRPr="00D722C3">
        <w:rPr>
          <w:rFonts w:cstheme="minorHAnsi"/>
        </w:rPr>
        <w:t xml:space="preserve">payment </w:t>
      </w:r>
      <w:r>
        <w:rPr>
          <w:rFonts w:cstheme="minorHAnsi"/>
        </w:rPr>
        <w:t>do</w:t>
      </w:r>
      <w:r w:rsidR="00D722C3" w:rsidRPr="00D722C3">
        <w:rPr>
          <w:rFonts w:cstheme="minorHAnsi"/>
        </w:rPr>
        <w:t xml:space="preserve"> not have an impact on </w:t>
      </w:r>
      <w:r w:rsidR="00815C33">
        <w:rPr>
          <w:rFonts w:cstheme="minorHAnsi"/>
        </w:rPr>
        <w:t>the</w:t>
      </w:r>
      <w:r>
        <w:rPr>
          <w:rFonts w:cstheme="minorHAnsi"/>
        </w:rPr>
        <w:t xml:space="preserve"> fiscal year</w:t>
      </w:r>
      <w:r w:rsidR="00815C33">
        <w:rPr>
          <w:rFonts w:cstheme="minorHAnsi"/>
        </w:rPr>
        <w:t xml:space="preserve"> in which</w:t>
      </w:r>
      <w:r>
        <w:rPr>
          <w:rFonts w:cstheme="minorHAnsi"/>
        </w:rPr>
        <w:t xml:space="preserve"> </w:t>
      </w:r>
      <w:r w:rsidR="00815C33">
        <w:rPr>
          <w:rFonts w:cstheme="minorHAnsi"/>
        </w:rPr>
        <w:t>an expense is recorded and compliance with these standards is reviewed</w:t>
      </w:r>
      <w:r w:rsidR="00326E9F">
        <w:rPr>
          <w:rFonts w:cstheme="minorHAnsi"/>
        </w:rPr>
        <w:t xml:space="preserve"> annually</w:t>
      </w:r>
      <w:r w:rsidR="00815C33">
        <w:rPr>
          <w:rFonts w:cstheme="minorHAnsi"/>
        </w:rPr>
        <w:t xml:space="preserve"> by external auditors.</w:t>
      </w:r>
    </w:p>
    <w:bookmarkEnd w:id="3"/>
    <w:p w14:paraId="61FD87BB" w14:textId="77777777" w:rsidR="00D722C3" w:rsidRPr="00D722C3" w:rsidRDefault="00D722C3" w:rsidP="00D722C3">
      <w:pPr>
        <w:pStyle w:val="ListParagraph"/>
        <w:rPr>
          <w:rFonts w:cstheme="minorHAnsi"/>
        </w:rPr>
      </w:pPr>
    </w:p>
    <w:p w14:paraId="40002E50" w14:textId="60129001" w:rsidR="00D722C3" w:rsidRPr="00D722C3" w:rsidRDefault="00326E9F" w:rsidP="00D722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4" w:name="_Hlk136846768"/>
      <w:r>
        <w:rPr>
          <w:rFonts w:cstheme="minorHAnsi"/>
        </w:rPr>
        <w:t xml:space="preserve">Chrome River Expense Reports </w:t>
      </w:r>
      <w:r w:rsidR="00D722C3" w:rsidRPr="00D722C3">
        <w:rPr>
          <w:rFonts w:cstheme="minorHAnsi"/>
        </w:rPr>
        <w:t>that require additional documentation, correction or clarification may result in a payment on or after July 1, 202</w:t>
      </w:r>
      <w:r w:rsidR="003944AB">
        <w:rPr>
          <w:rFonts w:cstheme="minorHAnsi"/>
        </w:rPr>
        <w:t>3</w:t>
      </w:r>
      <w:r w:rsidR="00D722C3" w:rsidRPr="00D722C3">
        <w:rPr>
          <w:rFonts w:cstheme="minorHAnsi"/>
        </w:rPr>
        <w:t>.</w:t>
      </w:r>
    </w:p>
    <w:bookmarkEnd w:id="4"/>
    <w:p w14:paraId="664EB4D9" w14:textId="77777777" w:rsidR="00D722C3" w:rsidRPr="00D722C3" w:rsidRDefault="00D722C3" w:rsidP="00D722C3">
      <w:pPr>
        <w:pStyle w:val="ListParagraph"/>
        <w:rPr>
          <w:rFonts w:cstheme="minorHAnsi"/>
        </w:rPr>
      </w:pPr>
    </w:p>
    <w:p w14:paraId="121FBAD2" w14:textId="0423E4B0" w:rsidR="00D722C3" w:rsidRPr="00D722C3" w:rsidRDefault="00D722C3" w:rsidP="00D722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5" w:name="_Hlk39672268"/>
      <w:r w:rsidRPr="00D722C3">
        <w:rPr>
          <w:rFonts w:cstheme="minorHAnsi"/>
        </w:rPr>
        <w:t xml:space="preserve">Please share this schedule with those in your department who are responsible for creating requisitions, </w:t>
      </w:r>
      <w:r w:rsidR="00966FC2">
        <w:rPr>
          <w:rFonts w:cstheme="minorHAnsi"/>
        </w:rPr>
        <w:t>preparing travel expense reports, submitting direct pay forms, or allocating purchas</w:t>
      </w:r>
      <w:r w:rsidR="00D14F05">
        <w:rPr>
          <w:rFonts w:cstheme="minorHAnsi"/>
        </w:rPr>
        <w:t>ing</w:t>
      </w:r>
      <w:r w:rsidR="00966FC2">
        <w:rPr>
          <w:rFonts w:cstheme="minorHAnsi"/>
        </w:rPr>
        <w:t xml:space="preserve"> card transaction</w:t>
      </w:r>
      <w:r w:rsidRPr="00D722C3">
        <w:rPr>
          <w:rFonts w:cstheme="minorHAnsi"/>
        </w:rPr>
        <w:t>s.</w:t>
      </w:r>
    </w:p>
    <w:bookmarkEnd w:id="5"/>
    <w:p w14:paraId="496CE23B" w14:textId="77777777" w:rsidR="00D722C3" w:rsidRPr="00D722C3" w:rsidRDefault="00D722C3" w:rsidP="00D722C3">
      <w:pPr>
        <w:pStyle w:val="ListParagraph"/>
        <w:rPr>
          <w:rFonts w:cstheme="minorHAnsi"/>
        </w:rPr>
      </w:pPr>
    </w:p>
    <w:p w14:paraId="1D6E34B4" w14:textId="2D5EB7F6" w:rsidR="00D722C3" w:rsidRDefault="00D722C3" w:rsidP="00D722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722C3">
        <w:rPr>
          <w:rFonts w:cstheme="minorHAnsi"/>
        </w:rPr>
        <w:t>Please refer to the emails sent by each department for specific information. If you have additional questions, contact the appropriate department listed below:</w:t>
      </w:r>
    </w:p>
    <w:p w14:paraId="7253F219" w14:textId="77777777" w:rsidR="00627C9C" w:rsidRPr="00627C9C" w:rsidRDefault="00627C9C" w:rsidP="00627C9C">
      <w:pPr>
        <w:pStyle w:val="ListParagraph"/>
        <w:rPr>
          <w:rFonts w:cstheme="minorHAnsi"/>
        </w:rPr>
      </w:pPr>
    </w:p>
    <w:p w14:paraId="53C07D75" w14:textId="77777777" w:rsidR="00D722C3" w:rsidRPr="00627C9C" w:rsidRDefault="00516F6B" w:rsidP="00627C9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/>
        </w:rPr>
      </w:pPr>
      <w:hyperlink r:id="rId10" w:history="1">
        <w:r w:rsidR="00D722C3" w:rsidRPr="00627C9C">
          <w:rPr>
            <w:rStyle w:val="Hyperlink"/>
            <w:rFonts w:cstheme="minorHAnsi"/>
          </w:rPr>
          <w:t>Acc</w:t>
        </w:r>
        <w:r w:rsidR="00D722C3" w:rsidRPr="00627C9C">
          <w:rPr>
            <w:rStyle w:val="Hyperlink"/>
            <w:rFonts w:cstheme="minorHAnsi"/>
            <w:spacing w:val="1"/>
          </w:rPr>
          <w:t>o</w:t>
        </w:r>
        <w:r w:rsidR="00D722C3" w:rsidRPr="00627C9C">
          <w:rPr>
            <w:rStyle w:val="Hyperlink"/>
            <w:rFonts w:cstheme="minorHAnsi"/>
            <w:spacing w:val="-1"/>
          </w:rPr>
          <w:t>un</w:t>
        </w:r>
        <w:r w:rsidR="00D722C3" w:rsidRPr="00627C9C">
          <w:rPr>
            <w:rStyle w:val="Hyperlink"/>
            <w:rFonts w:cstheme="minorHAnsi"/>
          </w:rPr>
          <w:t>ts</w:t>
        </w:r>
        <w:r w:rsidR="00D722C3" w:rsidRPr="00627C9C">
          <w:rPr>
            <w:rStyle w:val="Hyperlink"/>
            <w:rFonts w:cstheme="minorHAnsi"/>
            <w:spacing w:val="-1"/>
          </w:rPr>
          <w:t xml:space="preserve"> </w:t>
        </w:r>
        <w:r w:rsidR="00D722C3" w:rsidRPr="00627C9C">
          <w:rPr>
            <w:rStyle w:val="Hyperlink"/>
            <w:rFonts w:cstheme="minorHAnsi"/>
            <w:spacing w:val="1"/>
          </w:rPr>
          <w:t>P</w:t>
        </w:r>
        <w:r w:rsidR="00D722C3" w:rsidRPr="00627C9C">
          <w:rPr>
            <w:rStyle w:val="Hyperlink"/>
            <w:rFonts w:cstheme="minorHAnsi"/>
            <w:spacing w:val="-3"/>
          </w:rPr>
          <w:t>a</w:t>
        </w:r>
        <w:r w:rsidR="00D722C3" w:rsidRPr="00627C9C">
          <w:rPr>
            <w:rStyle w:val="Hyperlink"/>
            <w:rFonts w:cstheme="minorHAnsi"/>
            <w:spacing w:val="1"/>
          </w:rPr>
          <w:t>y</w:t>
        </w:r>
        <w:r w:rsidR="00D722C3" w:rsidRPr="00627C9C">
          <w:rPr>
            <w:rStyle w:val="Hyperlink"/>
            <w:rFonts w:cstheme="minorHAnsi"/>
          </w:rPr>
          <w:t>a</w:t>
        </w:r>
        <w:r w:rsidR="00D722C3" w:rsidRPr="00627C9C">
          <w:rPr>
            <w:rStyle w:val="Hyperlink"/>
            <w:rFonts w:cstheme="minorHAnsi"/>
            <w:spacing w:val="-1"/>
          </w:rPr>
          <w:t>b</w:t>
        </w:r>
        <w:r w:rsidR="00D722C3" w:rsidRPr="00627C9C">
          <w:rPr>
            <w:rStyle w:val="Hyperlink"/>
            <w:rFonts w:cstheme="minorHAnsi"/>
          </w:rPr>
          <w:t>le</w:t>
        </w:r>
      </w:hyperlink>
      <w:r w:rsidR="00D722C3" w:rsidRPr="00627C9C">
        <w:rPr>
          <w:rFonts w:cstheme="minorHAnsi"/>
          <w:color w:val="000000"/>
        </w:rPr>
        <w:t xml:space="preserve"> </w:t>
      </w:r>
      <w:r w:rsidR="00D722C3" w:rsidRPr="00627C9C">
        <w:rPr>
          <w:rFonts w:cstheme="minorHAnsi"/>
          <w:color w:val="000000"/>
          <w:spacing w:val="-2"/>
        </w:rPr>
        <w:t>a</w:t>
      </w:r>
      <w:r w:rsidR="00D722C3" w:rsidRPr="00627C9C">
        <w:rPr>
          <w:rFonts w:cstheme="minorHAnsi"/>
          <w:color w:val="000000"/>
        </w:rPr>
        <w:t>t</w:t>
      </w:r>
      <w:r w:rsidR="00D722C3" w:rsidRPr="00627C9C">
        <w:rPr>
          <w:rFonts w:cstheme="minorHAnsi"/>
          <w:color w:val="000000"/>
          <w:spacing w:val="2"/>
        </w:rPr>
        <w:t xml:space="preserve"> </w:t>
      </w:r>
      <w:r w:rsidR="00D722C3" w:rsidRPr="00627C9C">
        <w:rPr>
          <w:rFonts w:cstheme="minorHAnsi"/>
          <w:color w:val="000000"/>
          <w:spacing w:val="-2"/>
        </w:rPr>
        <w:t>81</w:t>
      </w:r>
      <w:r w:rsidR="00D722C3" w:rsidRPr="00627C9C">
        <w:rPr>
          <w:rFonts w:cstheme="minorHAnsi"/>
          <w:color w:val="000000"/>
          <w:spacing w:val="1"/>
        </w:rPr>
        <w:t>2</w:t>
      </w:r>
      <w:r w:rsidR="00D722C3" w:rsidRPr="00627C9C">
        <w:rPr>
          <w:rFonts w:cstheme="minorHAnsi"/>
          <w:color w:val="000000"/>
        </w:rPr>
        <w:t>-</w:t>
      </w:r>
      <w:r w:rsidR="00D722C3" w:rsidRPr="00627C9C">
        <w:rPr>
          <w:rFonts w:cstheme="minorHAnsi"/>
          <w:color w:val="000000"/>
          <w:spacing w:val="-2"/>
        </w:rPr>
        <w:t>4</w:t>
      </w:r>
      <w:r w:rsidR="00D722C3" w:rsidRPr="00627C9C">
        <w:rPr>
          <w:rFonts w:cstheme="minorHAnsi"/>
          <w:color w:val="000000"/>
          <w:spacing w:val="1"/>
        </w:rPr>
        <w:t>61</w:t>
      </w:r>
      <w:r w:rsidR="00D722C3" w:rsidRPr="00627C9C">
        <w:rPr>
          <w:rFonts w:cstheme="minorHAnsi"/>
          <w:color w:val="000000"/>
          <w:spacing w:val="-3"/>
        </w:rPr>
        <w:t>-</w:t>
      </w:r>
      <w:r w:rsidR="00D722C3" w:rsidRPr="00627C9C">
        <w:rPr>
          <w:rFonts w:cstheme="minorHAnsi"/>
          <w:color w:val="000000"/>
          <w:spacing w:val="1"/>
        </w:rPr>
        <w:t>5</w:t>
      </w:r>
      <w:r w:rsidR="00D722C3" w:rsidRPr="00627C9C">
        <w:rPr>
          <w:rFonts w:cstheme="minorHAnsi"/>
          <w:color w:val="000000"/>
          <w:spacing w:val="-2"/>
        </w:rPr>
        <w:t>4</w:t>
      </w:r>
      <w:r w:rsidR="00D722C3" w:rsidRPr="00627C9C">
        <w:rPr>
          <w:rFonts w:cstheme="minorHAnsi"/>
          <w:color w:val="000000"/>
          <w:spacing w:val="1"/>
        </w:rPr>
        <w:t>2</w:t>
      </w:r>
      <w:r w:rsidR="00D722C3" w:rsidRPr="00627C9C">
        <w:rPr>
          <w:rFonts w:cstheme="minorHAnsi"/>
          <w:color w:val="000000"/>
        </w:rPr>
        <w:t>2</w:t>
      </w:r>
    </w:p>
    <w:p w14:paraId="2A73823F" w14:textId="1811A222" w:rsidR="00D722C3" w:rsidRPr="00627C9C" w:rsidRDefault="00516F6B" w:rsidP="00627C9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hyperlink r:id="rId11" w:history="1">
        <w:r w:rsidR="00D722C3" w:rsidRPr="00D7428B">
          <w:rPr>
            <w:rStyle w:val="Hyperlink"/>
            <w:rFonts w:cstheme="minorHAnsi"/>
          </w:rPr>
          <w:t>Procurement</w:t>
        </w:r>
      </w:hyperlink>
      <w:r w:rsidR="00D722C3" w:rsidRPr="00627C9C">
        <w:rPr>
          <w:rFonts w:cstheme="minorHAnsi"/>
        </w:rPr>
        <w:t xml:space="preserve"> at 812-464-184</w:t>
      </w:r>
      <w:r w:rsidR="007E0496">
        <w:rPr>
          <w:rFonts w:cstheme="minorHAnsi"/>
        </w:rPr>
        <w:t>7</w:t>
      </w:r>
    </w:p>
    <w:p w14:paraId="5E8441DF" w14:textId="2BA6D06A" w:rsidR="00D722C3" w:rsidRPr="00627C9C" w:rsidRDefault="00516F6B" w:rsidP="00627C9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D722C3" w:rsidRPr="00627C9C">
          <w:rPr>
            <w:rStyle w:val="Hyperlink"/>
            <w:rFonts w:cstheme="minorHAnsi"/>
          </w:rPr>
          <w:t>Travel Procurement</w:t>
        </w:r>
      </w:hyperlink>
      <w:r w:rsidR="00D722C3" w:rsidRPr="00627C9C">
        <w:rPr>
          <w:rFonts w:cstheme="minorHAnsi"/>
        </w:rPr>
        <w:t xml:space="preserve"> at 812-46</w:t>
      </w:r>
      <w:r w:rsidR="007331D2">
        <w:rPr>
          <w:rFonts w:cstheme="minorHAnsi"/>
        </w:rPr>
        <w:t>5</w:t>
      </w:r>
      <w:r w:rsidR="00FD17A0">
        <w:rPr>
          <w:rFonts w:cstheme="minorHAnsi"/>
        </w:rPr>
        <w:t>-1058</w:t>
      </w:r>
    </w:p>
    <w:sectPr w:rsidR="00D722C3" w:rsidRPr="00627C9C" w:rsidSect="00E51C09">
      <w:pgSz w:w="12240" w:h="15840"/>
      <w:pgMar w:top="540" w:right="6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332E" w14:textId="77777777" w:rsidR="00BB26EA" w:rsidRDefault="00BB26EA" w:rsidP="00815C33">
      <w:pPr>
        <w:spacing w:after="0" w:line="240" w:lineRule="auto"/>
      </w:pPr>
      <w:r>
        <w:separator/>
      </w:r>
    </w:p>
  </w:endnote>
  <w:endnote w:type="continuationSeparator" w:id="0">
    <w:p w14:paraId="6DADC9D7" w14:textId="77777777" w:rsidR="00BB26EA" w:rsidRDefault="00BB26EA" w:rsidP="0081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0D17" w14:textId="77777777" w:rsidR="00BB26EA" w:rsidRDefault="00BB26EA" w:rsidP="00815C33">
      <w:pPr>
        <w:spacing w:after="0" w:line="240" w:lineRule="auto"/>
      </w:pPr>
      <w:r>
        <w:separator/>
      </w:r>
    </w:p>
  </w:footnote>
  <w:footnote w:type="continuationSeparator" w:id="0">
    <w:p w14:paraId="5B51BE35" w14:textId="77777777" w:rsidR="00BB26EA" w:rsidRDefault="00BB26EA" w:rsidP="0081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6D0"/>
    <w:multiLevelType w:val="hybridMultilevel"/>
    <w:tmpl w:val="93F0DD2E"/>
    <w:lvl w:ilvl="0" w:tplc="60506A6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82566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C"/>
    <w:rsid w:val="00047CD5"/>
    <w:rsid w:val="00063AE1"/>
    <w:rsid w:val="00076423"/>
    <w:rsid w:val="000D47B9"/>
    <w:rsid w:val="00292255"/>
    <w:rsid w:val="00316164"/>
    <w:rsid w:val="00326E9F"/>
    <w:rsid w:val="00353543"/>
    <w:rsid w:val="003944AB"/>
    <w:rsid w:val="00492702"/>
    <w:rsid w:val="004B7113"/>
    <w:rsid w:val="00510CAE"/>
    <w:rsid w:val="00516F6B"/>
    <w:rsid w:val="00532548"/>
    <w:rsid w:val="00540E28"/>
    <w:rsid w:val="00566BA7"/>
    <w:rsid w:val="00572B67"/>
    <w:rsid w:val="005F4EED"/>
    <w:rsid w:val="00627C9C"/>
    <w:rsid w:val="00697E3A"/>
    <w:rsid w:val="006C5BA7"/>
    <w:rsid w:val="00731B06"/>
    <w:rsid w:val="007331D2"/>
    <w:rsid w:val="007C0BD3"/>
    <w:rsid w:val="007E0496"/>
    <w:rsid w:val="00813666"/>
    <w:rsid w:val="00815C33"/>
    <w:rsid w:val="00822E7A"/>
    <w:rsid w:val="009379A0"/>
    <w:rsid w:val="00966FC2"/>
    <w:rsid w:val="00A17E58"/>
    <w:rsid w:val="00A648BD"/>
    <w:rsid w:val="00A9432B"/>
    <w:rsid w:val="00AB0BCD"/>
    <w:rsid w:val="00AD3700"/>
    <w:rsid w:val="00B07A9D"/>
    <w:rsid w:val="00BB26EA"/>
    <w:rsid w:val="00BE2FCA"/>
    <w:rsid w:val="00BF6695"/>
    <w:rsid w:val="00CD3A0A"/>
    <w:rsid w:val="00D14F05"/>
    <w:rsid w:val="00D43A2A"/>
    <w:rsid w:val="00D722C3"/>
    <w:rsid w:val="00D7428B"/>
    <w:rsid w:val="00D81F8A"/>
    <w:rsid w:val="00DB41FC"/>
    <w:rsid w:val="00DC235C"/>
    <w:rsid w:val="00E51C09"/>
    <w:rsid w:val="00F5640C"/>
    <w:rsid w:val="00F73497"/>
    <w:rsid w:val="00FA1890"/>
    <w:rsid w:val="00FA52DF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6F42F"/>
  <w15:chartTrackingRefBased/>
  <w15:docId w15:val="{3714D2E5-CFAE-45C8-B92A-A80517A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2C3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2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vel.USI@usi.edu?subject=Fiscal%20Year%20End%20Schedule%20Ques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serv@usi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AcctsPay@usi.edu?subject=Fiscal%20Year%20End%20Schedule%20Ques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0" ma:contentTypeDescription="Create a new document." ma:contentTypeScope="" ma:versionID="0a6956808b83fa103e62e1bd48ae3f6f">
  <xsd:schema xmlns:xsd="http://www.w3.org/2001/XMLSchema" xmlns:xs="http://www.w3.org/2001/XMLSchema" xmlns:p="http://schemas.microsoft.com/office/2006/metadata/properties" xmlns:ns1="http://schemas.microsoft.com/sharepoint/v3" xmlns:ns3="3d3703b6-88d7-457b-aaad-a0b3cc2afc48" xmlns:ns4="b2adcb0f-2276-4996-9755-287d782a2636" targetNamespace="http://schemas.microsoft.com/office/2006/metadata/properties" ma:root="true" ma:fieldsID="caf6554f6857a4d5fb14349edcf35200" ns1:_="" ns3:_="" ns4:_="">
    <xsd:import namespace="http://schemas.microsoft.com/sharepoint/v3"/>
    <xsd:import namespace="3d3703b6-88d7-457b-aaad-a0b3cc2afc48"/>
    <xsd:import namespace="b2adcb0f-2276-4996-9755-287d782a2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FD59A-FB1D-47DD-B6E5-DCCBAFC52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D6FD1-FC5D-4329-973B-4C1D860E00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F86F91-235E-489D-A0BC-DF321214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703b6-88d7-457b-aaad-a0b3cc2afc48"/>
    <ds:schemaRef ds:uri="b2adcb0f-2276-4996-9755-287d782a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Susanne L</dc:creator>
  <cp:keywords/>
  <dc:description/>
  <cp:lastModifiedBy>Weinzapfel, Julie A</cp:lastModifiedBy>
  <cp:revision>2</cp:revision>
  <dcterms:created xsi:type="dcterms:W3CDTF">2023-06-05T16:10:00Z</dcterms:created>
  <dcterms:modified xsi:type="dcterms:W3CDTF">2023-06-05T16:10:00Z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0x010100E1605716CF0537418EB09F2237B795AE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2021-05-08T17:06:30Z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9612cd25-bda2-4aba-818c-51b3382345f7</vt:lpwstr>
  </property>
  <property fmtid="{D5CDD505-2E9C-101B-9397-08002B2CF9AE}" pid="9" name="MSIP_Label_93932cc9-dea4-49e2-bfe2-7f42b17a9d2b_ContentBits">
    <vt:lpwstr>0</vt:lpwstr>
  </property>
</Properties>
</file>